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4D" w:rsidRPr="00096F4D" w:rsidRDefault="00096F4D" w:rsidP="00096F4D">
      <w:pPr>
        <w:jc w:val="right"/>
        <w:rPr>
          <w:rFonts w:ascii="Times New Roman" w:hAnsi="Times New Roman" w:cs="Times New Roman"/>
          <w:b/>
        </w:rPr>
      </w:pPr>
      <w:r w:rsidRPr="00096F4D">
        <w:rPr>
          <w:rFonts w:ascii="Times New Roman" w:hAnsi="Times New Roman" w:cs="Times New Roman"/>
          <w:b/>
        </w:rPr>
        <w:t xml:space="preserve">Критерии отбора кандидатов на повышенную стипендию </w:t>
      </w:r>
      <w:proofErr w:type="spellStart"/>
      <w:r w:rsidRPr="00096F4D">
        <w:rPr>
          <w:rFonts w:ascii="Times New Roman" w:hAnsi="Times New Roman" w:cs="Times New Roman"/>
          <w:b/>
        </w:rPr>
        <w:t>ТвГУ</w:t>
      </w:r>
      <w:proofErr w:type="spellEnd"/>
      <w:r w:rsidRPr="00096F4D">
        <w:rPr>
          <w:rFonts w:ascii="Times New Roman" w:hAnsi="Times New Roman" w:cs="Times New Roman"/>
          <w:b/>
        </w:rPr>
        <w:t xml:space="preserve">, лежащие в основе работы стипендиальной комиссии </w:t>
      </w:r>
      <w:proofErr w:type="spellStart"/>
      <w:r w:rsidRPr="00096F4D">
        <w:rPr>
          <w:rFonts w:ascii="Times New Roman" w:hAnsi="Times New Roman" w:cs="Times New Roman"/>
          <w:b/>
        </w:rPr>
        <w:t>ИнЭУ</w:t>
      </w:r>
      <w:proofErr w:type="spellEnd"/>
    </w:p>
    <w:p w:rsidR="00096F4D" w:rsidRDefault="009671F7" w:rsidP="00F0350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F0350C">
        <w:rPr>
          <w:rFonts w:ascii="Times New Roman" w:hAnsi="Times New Roman" w:cs="Times New Roman"/>
        </w:rPr>
        <w:t>В случае с назначением</w:t>
      </w:r>
      <w:r w:rsidR="00F0350C" w:rsidRPr="00F0350C">
        <w:rPr>
          <w:rFonts w:ascii="Times New Roman" w:hAnsi="Times New Roman" w:cs="Times New Roman"/>
        </w:rPr>
        <w:t xml:space="preserve"> </w:t>
      </w:r>
      <w:proofErr w:type="gramStart"/>
      <w:r w:rsidR="00F0350C" w:rsidRPr="00F0350C">
        <w:rPr>
          <w:rFonts w:ascii="Times New Roman" w:hAnsi="Times New Roman" w:cs="Times New Roman"/>
        </w:rPr>
        <w:t xml:space="preserve">повышенной </w:t>
      </w:r>
      <w:r w:rsidRPr="00F0350C">
        <w:rPr>
          <w:rFonts w:ascii="Times New Roman" w:hAnsi="Times New Roman" w:cs="Times New Roman"/>
        </w:rPr>
        <w:t xml:space="preserve"> стипендии</w:t>
      </w:r>
      <w:proofErr w:type="gramEnd"/>
      <w:r w:rsidRPr="00F0350C">
        <w:rPr>
          <w:rFonts w:ascii="Times New Roman" w:hAnsi="Times New Roman" w:cs="Times New Roman"/>
        </w:rPr>
        <w:t xml:space="preserve"> </w:t>
      </w:r>
      <w:r w:rsidR="00F0350C" w:rsidRPr="00F0350C">
        <w:rPr>
          <w:rFonts w:ascii="Times New Roman" w:hAnsi="Times New Roman" w:cs="Times New Roman"/>
        </w:rPr>
        <w:t>за успехи в учебной деятельности учитывается средний балл успеваемости кандидата и стипендия присуждается кандидату с наивысшим средним рейтинговым баллом успеваемости.</w:t>
      </w:r>
    </w:p>
    <w:p w:rsidR="00F0350C" w:rsidRPr="00F0350C" w:rsidRDefault="00F0350C" w:rsidP="00F0350C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остальным номинациям расчет ведется по следующей схеме, в свое время принятой </w:t>
      </w:r>
      <w:r w:rsidRPr="00F0350C">
        <w:rPr>
          <w:rFonts w:ascii="Times New Roman" w:hAnsi="Times New Roman" w:cs="Times New Roman"/>
        </w:rPr>
        <w:t xml:space="preserve">учёного Совета </w:t>
      </w:r>
      <w:proofErr w:type="spellStart"/>
      <w:r w:rsidRPr="00F0350C">
        <w:rPr>
          <w:rFonts w:ascii="Times New Roman" w:hAnsi="Times New Roman" w:cs="Times New Roman"/>
        </w:rPr>
        <w:t>ТвГУ</w:t>
      </w:r>
      <w:proofErr w:type="spellEnd"/>
      <w:r>
        <w:rPr>
          <w:rFonts w:ascii="Times New Roman" w:hAnsi="Times New Roman" w:cs="Times New Roman"/>
        </w:rPr>
        <w:t xml:space="preserve"> решением</w:t>
      </w:r>
      <w:r w:rsidRPr="00F0350C">
        <w:rPr>
          <w:rFonts w:ascii="Times New Roman" w:hAnsi="Times New Roman" w:cs="Times New Roman"/>
        </w:rPr>
        <w:t xml:space="preserve"> от 17.11.2014.</w:t>
      </w:r>
      <w:r>
        <w:rPr>
          <w:rFonts w:ascii="Times New Roman" w:hAnsi="Times New Roman" w:cs="Times New Roman"/>
        </w:rPr>
        <w:t>:</w:t>
      </w:r>
    </w:p>
    <w:p w:rsidR="00096F4D" w:rsidRDefault="00096F4D" w:rsidP="00096F4D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1096"/>
        <w:gridCol w:w="8611"/>
      </w:tblGrid>
      <w:tr w:rsidR="00096F4D" w:rsidRPr="00C56F99" w:rsidTr="002D773E">
        <w:tc>
          <w:tcPr>
            <w:tcW w:w="14560" w:type="dxa"/>
            <w:gridSpan w:val="3"/>
          </w:tcPr>
          <w:p w:rsidR="00096F4D" w:rsidRPr="00C56F99" w:rsidRDefault="00096F4D" w:rsidP="00096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Участие в работе обучающего семинара или краткосрочных курсов (до 72 часов)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с получением документа государственного образца (объем от 72 до 100 час.)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(объем от 101 до 500 часов) с получением документа установленного образца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(объем от 101 до 500 часов) с получением документа государственного образца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Освоение дополнительных образовательных программ с присвоением дополнительной квалификации (объем – свыше 500 час.)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096F4D" w:rsidRPr="00C56F99" w:rsidTr="00096F4D">
        <w:tc>
          <w:tcPr>
            <w:tcW w:w="4853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переподготовки</w:t>
            </w:r>
          </w:p>
        </w:tc>
        <w:tc>
          <w:tcPr>
            <w:tcW w:w="1096" w:type="dxa"/>
          </w:tcPr>
          <w:p w:rsidR="00096F4D" w:rsidRPr="00C56F99" w:rsidRDefault="00096F4D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2,5 балла</w:t>
            </w:r>
          </w:p>
        </w:tc>
        <w:tc>
          <w:tcPr>
            <w:tcW w:w="8611" w:type="dxa"/>
          </w:tcPr>
          <w:p w:rsidR="00096F4D" w:rsidRPr="00C56F99" w:rsidRDefault="009671F7" w:rsidP="00096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</w:tbl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311"/>
        <w:gridCol w:w="1096"/>
        <w:gridCol w:w="8605"/>
      </w:tblGrid>
      <w:tr w:rsidR="00096F4D" w:rsidRPr="00C56F99" w:rsidTr="003068A7">
        <w:tc>
          <w:tcPr>
            <w:tcW w:w="14560" w:type="dxa"/>
            <w:gridSpan w:val="4"/>
          </w:tcPr>
          <w:p w:rsidR="00096F4D" w:rsidRPr="00C56F99" w:rsidRDefault="00096F4D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B445F9" w:rsidRPr="00C56F99" w:rsidTr="003068A7">
        <w:tc>
          <w:tcPr>
            <w:tcW w:w="2548" w:type="dxa"/>
            <w:vMerge w:val="restart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Доклады на научных (научно-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практических, научно-технических) конференциях, семинарах, круглых столах и т.п.</w:t>
            </w:r>
          </w:p>
        </w:tc>
        <w:tc>
          <w:tcPr>
            <w:tcW w:w="2311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вузовское</w:t>
            </w:r>
          </w:p>
        </w:tc>
        <w:tc>
          <w:tcPr>
            <w:tcW w:w="1096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605" w:type="dxa"/>
          </w:tcPr>
          <w:p w:rsidR="00B445F9" w:rsidRPr="00C56F99" w:rsidRDefault="009671F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B445F9" w:rsidRPr="00C56F99" w:rsidTr="003068A7">
        <w:tc>
          <w:tcPr>
            <w:tcW w:w="2548" w:type="dxa"/>
            <w:vMerge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региональное</w:t>
            </w:r>
          </w:p>
        </w:tc>
        <w:tc>
          <w:tcPr>
            <w:tcW w:w="1096" w:type="dxa"/>
          </w:tcPr>
          <w:p w:rsidR="00B445F9" w:rsidRPr="00C56F99" w:rsidRDefault="00B445F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8605" w:type="dxa"/>
          </w:tcPr>
          <w:p w:rsidR="00B445F9" w:rsidRPr="00C56F99" w:rsidRDefault="009671F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документов подтверждающих Ваше достижение за отчетный период.</w:t>
            </w: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всероссийское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балла</w:t>
            </w:r>
          </w:p>
        </w:tc>
        <w:tc>
          <w:tcPr>
            <w:tcW w:w="8605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05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F7" w:rsidRPr="00C56F99" w:rsidTr="003068A7">
        <w:trPr>
          <w:trHeight w:val="210"/>
        </w:trPr>
        <w:tc>
          <w:tcPr>
            <w:tcW w:w="2548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Публикации тезисов докладов</w:t>
            </w: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вузовское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05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Вашей публикации за отчетный период и выходные данные периодического издания/сборника статей,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тезисы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1F7" w:rsidRPr="00C56F99" w:rsidTr="003068A7">
        <w:trPr>
          <w:trHeight w:val="25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региональное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rPr>
          <w:trHeight w:val="25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всероссийское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rPr>
          <w:trHeight w:val="315"/>
        </w:trPr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Мероприятие международное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4859" w:type="dxa"/>
            <w:gridSpan w:val="2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Научные публикации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5" w:type="dxa"/>
            <w:vMerge w:val="restart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пии (сканы) Вашей публикации за отчетный период и выходные данные периодического издания/сборника статей, где статья опубликована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1F7" w:rsidRPr="00C56F99" w:rsidTr="003068A7">
        <w:tc>
          <w:tcPr>
            <w:tcW w:w="2548" w:type="dxa"/>
            <w:vMerge w:val="restart"/>
          </w:tcPr>
          <w:p w:rsidR="009671F7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Научный журнал, сборник 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в соавторстве могут быть оценены на 0,5 балла ниже, чем работы, выполненные самостоятельно.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зарубежный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1F7" w:rsidRPr="00C56F99" w:rsidTr="003068A7">
        <w:tc>
          <w:tcPr>
            <w:tcW w:w="2548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Из перечня ВАК, индексируемый 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 РИНЦ</w:t>
            </w:r>
          </w:p>
        </w:tc>
        <w:tc>
          <w:tcPr>
            <w:tcW w:w="1096" w:type="dxa"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5" w:type="dxa"/>
            <w:vMerge/>
          </w:tcPr>
          <w:p w:rsidR="009671F7" w:rsidRPr="00C56F99" w:rsidRDefault="009671F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64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2224"/>
        <w:gridCol w:w="1170"/>
        <w:gridCol w:w="8"/>
        <w:gridCol w:w="8662"/>
      </w:tblGrid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576" w:type="dxa"/>
            <w:vMerge w:val="restart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Работы, поданные на конкурсы НИРС</w:t>
            </w: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2" w:type="dxa"/>
            <w:vMerge w:val="restart"/>
          </w:tcPr>
          <w:p w:rsidR="003068A7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8" w:type="dxa"/>
            <w:gridSpan w:val="2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2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576" w:type="dxa"/>
            <w:vMerge w:val="restart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Медали, дипломы, грамоты, премии и т.п., полученные на конкурсах НИРС</w:t>
            </w: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3068A7" w:rsidRPr="00C56F99" w:rsidRDefault="003068A7" w:rsidP="0096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="009671F7"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8A7" w:rsidRPr="00C56F99" w:rsidTr="003068A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576" w:type="dxa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170" w:type="dxa"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3068A7" w:rsidRPr="00C56F99" w:rsidRDefault="003068A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576" w:type="dxa"/>
            <w:vMerge w:val="restart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Экспонаты, представленные на выставках</w:t>
            </w: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70" w:type="dxa"/>
            <w:gridSpan w:val="2"/>
            <w:vMerge w:val="restart"/>
          </w:tcPr>
          <w:p w:rsidR="0061319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3068A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576" w:type="dxa"/>
            <w:vMerge w:val="restart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Медали, дипломы, грамоты, премии и т.п., полученные на выставках</w:t>
            </w: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61319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61319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3068A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76" w:type="dxa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195" w:rsidRPr="00C56F99" w:rsidTr="00D26AB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00" w:type="dxa"/>
            <w:gridSpan w:val="2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Заявки на объекты интеллектуальной собственности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</w:tcPr>
          <w:p w:rsidR="00613195" w:rsidRPr="00C56F99" w:rsidRDefault="009671F7" w:rsidP="00613195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Обратитесь в Управление интеллектуальной собственностью, там Вам помогут зарегистрировать сделанное Вами </w:t>
            </w: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открытие  надлежащим</w:t>
            </w:r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образом, тем самым сохранив за Вами права на получение дохода от данного открытия (изобретения). Охранным документом может быть патент, свидетельство или Приказ Ректора (в случае, если ваше открытие касается секретов производства – ноу-хау). Создайте достижение в этом разделе, приложив к нему отсканированную копию охранного документа.</w:t>
            </w:r>
          </w:p>
        </w:tc>
      </w:tr>
      <w:tr w:rsidR="00613195" w:rsidRPr="00C56F99" w:rsidTr="00EB389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800" w:type="dxa"/>
            <w:gridSpan w:val="2"/>
          </w:tcPr>
          <w:p w:rsidR="00613195" w:rsidRPr="00C56F99" w:rsidRDefault="00613195" w:rsidP="00613195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Охранные документы, полученные на объекты интеллектуальной собственности </w:t>
            </w:r>
          </w:p>
        </w:tc>
        <w:tc>
          <w:tcPr>
            <w:tcW w:w="1170" w:type="dxa"/>
          </w:tcPr>
          <w:p w:rsidR="00613195" w:rsidRPr="00C56F99" w:rsidRDefault="0061319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8670" w:type="dxa"/>
            <w:gridSpan w:val="2"/>
          </w:tcPr>
          <w:p w:rsidR="00613195" w:rsidRPr="00C56F99" w:rsidRDefault="00613195" w:rsidP="009671F7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Обратитесь в Управление ин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теллектуальной собственностью, там Вам помогут зарегистрировать </w:t>
            </w:r>
            <w:r w:rsidR="009671F7">
              <w:rPr>
                <w:rFonts w:ascii="Times New Roman" w:hAnsi="Times New Roman" w:cs="Times New Roman"/>
                <w:sz w:val="24"/>
                <w:szCs w:val="24"/>
              </w:rPr>
              <w:t xml:space="preserve">сделанное Вами </w:t>
            </w:r>
            <w:proofErr w:type="gramStart"/>
            <w:r w:rsidR="009671F7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надлежащим</w:t>
            </w:r>
            <w:proofErr w:type="gram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образом, тем самым сохранив за Вами права на получение дохода от данного открытия (изобретения).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Охранным документом может быть патент, свидетельство или Приказ Ректора (в случае, если ваше открытие касается секретов производства – ноу-хау). Создайте достижение в этом разделе, приложив к нему отсканированную копию охранного документа.</w:t>
            </w: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576" w:type="dxa"/>
            <w:vMerge w:val="restart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Проекты, поданные на конкурсы грантов (в случае руководства проектом к оценке за любой уровень  добавляется 1 дополнительный балл)</w:t>
            </w: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70" w:type="dxa"/>
            <w:gridSpan w:val="2"/>
            <w:vMerge w:val="restart"/>
          </w:tcPr>
          <w:p w:rsidR="002F3015" w:rsidRPr="00C56F99" w:rsidRDefault="009671F7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документов, подтверждающих Ваше участие в проекте, а также отзыв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руководителя научно-исследовательского проекта о вашем вкладе в достижение результатов.</w:t>
            </w: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3068A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576" w:type="dxa"/>
            <w:vMerge w:val="restart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финансируемых проектах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(в случае руководства проектом к оценке за любой уровень  добавляется 1 дополнительный балл)</w:t>
            </w: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70" w:type="dxa"/>
            <w:gridSpan w:val="2"/>
            <w:vMerge w:val="restart"/>
          </w:tcPr>
          <w:p w:rsidR="002F3015" w:rsidRPr="00C56F99" w:rsidRDefault="009671F7" w:rsidP="009671F7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документов, подтверждающих Ваше участие в проекте, а также отзыв </w:t>
            </w:r>
            <w:r w:rsidR="002F3015" w:rsidRPr="00C56F99">
              <w:rPr>
                <w:rFonts w:ascii="Times New Roman" w:hAnsi="Times New Roman" w:cs="Times New Roman"/>
                <w:sz w:val="24"/>
                <w:szCs w:val="24"/>
              </w:rPr>
              <w:t>руководителя научно-исследовательского проекта о вашем вкладе в достижение результатов.</w:t>
            </w: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2F3015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576" w:type="dxa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0" w:type="dxa"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70" w:type="dxa"/>
            <w:gridSpan w:val="2"/>
            <w:vMerge/>
          </w:tcPr>
          <w:p w:rsidR="002F3015" w:rsidRPr="00C56F99" w:rsidRDefault="002F3015" w:rsidP="009E67E9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p w:rsidR="00096F4D" w:rsidRPr="00C56F99" w:rsidRDefault="00096F4D" w:rsidP="00096F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0"/>
        <w:gridCol w:w="2303"/>
        <w:gridCol w:w="1096"/>
        <w:gridCol w:w="8611"/>
      </w:tblGrid>
      <w:tr w:rsidR="002F3015" w:rsidRPr="00C56F99" w:rsidTr="005F62C7">
        <w:tc>
          <w:tcPr>
            <w:tcW w:w="14560" w:type="dxa"/>
            <w:gridSpan w:val="4"/>
          </w:tcPr>
          <w:p w:rsidR="002F3015" w:rsidRPr="00C56F99" w:rsidRDefault="002F3015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Спортивные достижения</w:t>
            </w:r>
          </w:p>
        </w:tc>
      </w:tr>
      <w:tr w:rsidR="002F3015" w:rsidRPr="00C56F99" w:rsidTr="005F62C7">
        <w:trPr>
          <w:trHeight w:val="225"/>
        </w:trPr>
        <w:tc>
          <w:tcPr>
            <w:tcW w:w="2550" w:type="dxa"/>
            <w:vMerge w:val="restart"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спортивных </w:t>
            </w:r>
          </w:p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мероприятиях (в зависимости от статуса победитель, призер или участник)</w:t>
            </w: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7, 5 до 6,5 баллов</w:t>
            </w:r>
          </w:p>
        </w:tc>
        <w:tc>
          <w:tcPr>
            <w:tcW w:w="8611" w:type="dxa"/>
            <w:vMerge w:val="restart"/>
          </w:tcPr>
          <w:p w:rsidR="002F3015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</w:t>
            </w:r>
            <w:r w:rsidR="009671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 к указанному на сайте сроку </w:t>
            </w:r>
            <w:r w:rsidR="005F62C7" w:rsidRPr="00C56F99">
              <w:rPr>
                <w:rFonts w:ascii="Times New Roman" w:hAnsi="Times New Roman" w:cs="Times New Roman"/>
                <w:sz w:val="24"/>
                <w:szCs w:val="24"/>
              </w:rPr>
              <w:t>сканированные копии грамот, дипломов, подтверждающие Ваше участие в спортивных мероприятиях, а также копии спортивно-наградной атрибутики (медали, кубки, значки, вымпелы и т. п</w:t>
            </w:r>
          </w:p>
        </w:tc>
      </w:tr>
      <w:tr w:rsidR="002F3015" w:rsidRPr="00C56F99" w:rsidTr="005F62C7">
        <w:trPr>
          <w:trHeight w:val="24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6 до 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255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4,5 до 3,5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21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3-х до 2-х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15" w:rsidRPr="00C56F99" w:rsidTr="005F62C7">
        <w:trPr>
          <w:trHeight w:val="90"/>
        </w:trPr>
        <w:tc>
          <w:tcPr>
            <w:tcW w:w="2550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Вузовские</w:t>
            </w:r>
          </w:p>
        </w:tc>
        <w:tc>
          <w:tcPr>
            <w:tcW w:w="1096" w:type="dxa"/>
          </w:tcPr>
          <w:p w:rsidR="002F3015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От 1,5 до 0,5 баллов</w:t>
            </w:r>
          </w:p>
        </w:tc>
        <w:tc>
          <w:tcPr>
            <w:tcW w:w="8611" w:type="dxa"/>
            <w:vMerge/>
          </w:tcPr>
          <w:p w:rsidR="002F3015" w:rsidRPr="00C56F99" w:rsidRDefault="002F3015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95"/>
        </w:trPr>
        <w:tc>
          <w:tcPr>
            <w:tcW w:w="2550" w:type="dxa"/>
            <w:vMerge w:val="restart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спортивных </w:t>
            </w:r>
          </w:p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званий и разрядов</w:t>
            </w: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11" w:type="dxa"/>
            <w:vMerge w:val="restart"/>
          </w:tcPr>
          <w:p w:rsidR="005F62C7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</w:t>
            </w:r>
            <w:r w:rsidR="005F62C7" w:rsidRPr="00C56F99">
              <w:rPr>
                <w:rFonts w:ascii="Times New Roman" w:hAnsi="Times New Roman" w:cs="Times New Roman"/>
                <w:sz w:val="24"/>
                <w:szCs w:val="24"/>
              </w:rPr>
              <w:t>копии удостоверения спортсмена или спортивного паспорта</w:t>
            </w:r>
          </w:p>
        </w:tc>
      </w:tr>
      <w:tr w:rsidR="005F62C7" w:rsidRPr="00C56F99" w:rsidTr="005F62C7">
        <w:trPr>
          <w:trHeight w:val="300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0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3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05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5F62C7">
        <w:trPr>
          <w:trHeight w:val="120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Мастер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2C7" w:rsidRPr="00C56F99" w:rsidTr="000A1E10">
        <w:trPr>
          <w:trHeight w:val="516"/>
        </w:trPr>
        <w:tc>
          <w:tcPr>
            <w:tcW w:w="2550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Заслуженный мастер спорта</w:t>
            </w:r>
          </w:p>
        </w:tc>
        <w:tc>
          <w:tcPr>
            <w:tcW w:w="1096" w:type="dxa"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8611" w:type="dxa"/>
            <w:vMerge/>
          </w:tcPr>
          <w:p w:rsidR="005F62C7" w:rsidRPr="00C56F99" w:rsidRDefault="005F62C7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015" w:rsidRPr="00C56F99" w:rsidRDefault="002F3015" w:rsidP="002F3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7"/>
        <w:gridCol w:w="1618"/>
        <w:gridCol w:w="1712"/>
        <w:gridCol w:w="1542"/>
        <w:gridCol w:w="1065"/>
        <w:gridCol w:w="7556"/>
      </w:tblGrid>
      <w:tr w:rsidR="00C56F99" w:rsidRPr="00C56F99" w:rsidTr="00C56F99">
        <w:tc>
          <w:tcPr>
            <w:tcW w:w="1067" w:type="dxa"/>
          </w:tcPr>
          <w:p w:rsidR="00C56F99" w:rsidRPr="00C56F99" w:rsidRDefault="00C56F99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3" w:type="dxa"/>
            <w:gridSpan w:val="5"/>
          </w:tcPr>
          <w:p w:rsidR="00C56F99" w:rsidRPr="00C56F99" w:rsidRDefault="00C56F99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</w:t>
            </w:r>
          </w:p>
        </w:tc>
      </w:tr>
      <w:tr w:rsidR="00C56F99" w:rsidRPr="00C56F99" w:rsidTr="00C56F99">
        <w:tc>
          <w:tcPr>
            <w:tcW w:w="4397" w:type="dxa"/>
            <w:gridSpan w:val="3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Участие в персональной творческой деятельности (организация фото и художественных выставок, публикации стихов и прозы, творческих концертов и пр.</w:t>
            </w:r>
          </w:p>
        </w:tc>
        <w:tc>
          <w:tcPr>
            <w:tcW w:w="1542" w:type="dxa"/>
          </w:tcPr>
          <w:p w:rsid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</w:t>
            </w:r>
          </w:p>
          <w:p w:rsid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556" w:type="dxa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c>
          <w:tcPr>
            <w:tcW w:w="5939" w:type="dxa"/>
            <w:gridSpan w:val="4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Членство в постоянном действующем творческом коллективе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7556" w:type="dxa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rPr>
          <w:trHeight w:val="525"/>
        </w:trPr>
        <w:tc>
          <w:tcPr>
            <w:tcW w:w="2685" w:type="dxa"/>
            <w:gridSpan w:val="2"/>
            <w:vMerge w:val="restart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общественных, </w:t>
            </w:r>
            <w:proofErr w:type="spellStart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культурномассовых</w:t>
            </w:r>
            <w:proofErr w:type="spell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(</w:t>
            </w:r>
            <w:proofErr w:type="spellStart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внутривузовских</w:t>
            </w:r>
            <w:proofErr w:type="spellEnd"/>
            <w:r w:rsidRPr="00C56F99">
              <w:rPr>
                <w:rFonts w:ascii="Times New Roman" w:hAnsi="Times New Roman" w:cs="Times New Roman"/>
                <w:sz w:val="24"/>
                <w:szCs w:val="24"/>
              </w:rPr>
              <w:t>, региональных, городских, федеральных, международных)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статуса – победитель, призер, участник</w:t>
            </w: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7,5 до 6,5 баллов</w:t>
            </w:r>
          </w:p>
        </w:tc>
        <w:tc>
          <w:tcPr>
            <w:tcW w:w="7556" w:type="dxa"/>
            <w:vMerge w:val="restart"/>
          </w:tcPr>
          <w:p w:rsidR="00C56F99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C56F99" w:rsidRPr="00C56F99" w:rsidTr="00C56F99">
        <w:trPr>
          <w:trHeight w:val="42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до 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56F99">
        <w:trPr>
          <w:trHeight w:val="36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4,5 до 3,5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56F99">
        <w:trPr>
          <w:trHeight w:val="420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2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99" w:rsidRPr="00C56F99" w:rsidTr="00CE5F18">
        <w:trPr>
          <w:trHeight w:val="705"/>
        </w:trPr>
        <w:tc>
          <w:tcPr>
            <w:tcW w:w="2685" w:type="dxa"/>
            <w:gridSpan w:val="2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Вузовский уровень</w:t>
            </w:r>
          </w:p>
        </w:tc>
        <w:tc>
          <w:tcPr>
            <w:tcW w:w="1065" w:type="dxa"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до 0,5 баллов</w:t>
            </w:r>
          </w:p>
        </w:tc>
        <w:tc>
          <w:tcPr>
            <w:tcW w:w="7556" w:type="dxa"/>
            <w:vMerge/>
          </w:tcPr>
          <w:p w:rsidR="00C56F99" w:rsidRPr="00C56F99" w:rsidRDefault="00C56F99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F99" w:rsidRPr="00C56F99" w:rsidRDefault="00C56F99" w:rsidP="00C56F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377"/>
        <w:gridCol w:w="1094"/>
        <w:gridCol w:w="7975"/>
      </w:tblGrid>
      <w:tr w:rsidR="001F24C2" w:rsidRPr="00C56F99" w:rsidTr="008B66B9">
        <w:tc>
          <w:tcPr>
            <w:tcW w:w="14560" w:type="dxa"/>
            <w:gridSpan w:val="4"/>
          </w:tcPr>
          <w:p w:rsidR="001F24C2" w:rsidRPr="00C56F99" w:rsidRDefault="001F24C2" w:rsidP="00154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</w:tr>
      <w:tr w:rsidR="00A70B23" w:rsidRPr="00C56F99" w:rsidTr="00A70B23">
        <w:trPr>
          <w:trHeight w:val="360"/>
        </w:trPr>
        <w:tc>
          <w:tcPr>
            <w:tcW w:w="3114" w:type="dxa"/>
            <w:vMerge w:val="restart"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F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 жизни федерального уровня</w:t>
            </w: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Федерального органа власти / Всероссийской организации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A70B23" w:rsidRPr="00C56F99" w:rsidTr="00A70B23">
        <w:trPr>
          <w:trHeight w:val="300"/>
        </w:trPr>
        <w:tc>
          <w:tcPr>
            <w:tcW w:w="3114" w:type="dxa"/>
            <w:vMerge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благодарностью Федерального органа власти /Всероссийской организации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23" w:rsidRPr="00C56F99" w:rsidTr="00A70B23">
        <w:trPr>
          <w:trHeight w:val="420"/>
        </w:trPr>
        <w:tc>
          <w:tcPr>
            <w:tcW w:w="3114" w:type="dxa"/>
            <w:vMerge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сертификатом участника общественного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уровня</w:t>
            </w:r>
          </w:p>
        </w:tc>
        <w:tc>
          <w:tcPr>
            <w:tcW w:w="1094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315"/>
        </w:trPr>
        <w:tc>
          <w:tcPr>
            <w:tcW w:w="3114" w:type="dxa"/>
            <w:vMerge w:val="restart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регионального уровня</w:t>
            </w:r>
          </w:p>
        </w:tc>
        <w:tc>
          <w:tcPr>
            <w:tcW w:w="2377" w:type="dxa"/>
          </w:tcPr>
          <w:p w:rsidR="001F24C2" w:rsidRPr="00C56F99" w:rsidRDefault="001F24C2" w:rsidP="001F2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регионального органа власти / региональн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1F24C2" w:rsidRPr="00C56F99" w:rsidTr="00A70B23">
        <w:trPr>
          <w:trHeight w:val="375"/>
        </w:trPr>
        <w:tc>
          <w:tcPr>
            <w:tcW w:w="3114" w:type="dxa"/>
            <w:vMerge/>
          </w:tcPr>
          <w:p w:rsidR="001F24C2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благодарностью регионального органа власти/региональной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405"/>
        </w:trPr>
        <w:tc>
          <w:tcPr>
            <w:tcW w:w="3114" w:type="dxa"/>
            <w:vMerge/>
          </w:tcPr>
          <w:p w:rsidR="001F24C2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сертификатом участника общественного мероприятия регионального уровня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4C2" w:rsidRPr="00C56F99" w:rsidTr="00A70B23">
        <w:trPr>
          <w:trHeight w:val="375"/>
        </w:trPr>
        <w:tc>
          <w:tcPr>
            <w:tcW w:w="3114" w:type="dxa"/>
            <w:vMerge w:val="restart"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муниципального уровня</w:t>
            </w:r>
          </w:p>
        </w:tc>
        <w:tc>
          <w:tcPr>
            <w:tcW w:w="2377" w:type="dxa"/>
          </w:tcPr>
          <w:p w:rsidR="001F24C2" w:rsidRPr="00C56F99" w:rsidRDefault="001F24C2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грамотой органов муниципаль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0B23">
              <w:rPr>
                <w:rFonts w:ascii="Times New Roman" w:hAnsi="Times New Roman" w:cs="Times New Roman"/>
                <w:sz w:val="24"/>
                <w:szCs w:val="24"/>
              </w:rPr>
              <w:t>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7975" w:type="dxa"/>
            <w:vMerge w:val="restart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1F24C2" w:rsidRPr="00C56F99" w:rsidTr="00A70B23">
        <w:trPr>
          <w:trHeight w:val="270"/>
        </w:trPr>
        <w:tc>
          <w:tcPr>
            <w:tcW w:w="3114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благодарностью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муниципального самоуправления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организации</w:t>
            </w:r>
          </w:p>
        </w:tc>
        <w:tc>
          <w:tcPr>
            <w:tcW w:w="1094" w:type="dxa"/>
          </w:tcPr>
          <w:p w:rsidR="001F24C2" w:rsidRPr="00C56F99" w:rsidRDefault="00A70B23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7975" w:type="dxa"/>
            <w:vMerge/>
          </w:tcPr>
          <w:p w:rsidR="001F24C2" w:rsidRPr="00C56F99" w:rsidRDefault="001F24C2" w:rsidP="00154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B23" w:rsidRPr="00C56F99" w:rsidTr="00A70B23">
        <w:trPr>
          <w:trHeight w:val="450"/>
        </w:trPr>
        <w:tc>
          <w:tcPr>
            <w:tcW w:w="3114" w:type="dxa"/>
            <w:vMerge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сертификатом участника общественного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уровня</w:t>
            </w:r>
          </w:p>
        </w:tc>
        <w:tc>
          <w:tcPr>
            <w:tcW w:w="1094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балла</w:t>
            </w:r>
          </w:p>
        </w:tc>
        <w:tc>
          <w:tcPr>
            <w:tcW w:w="7975" w:type="dxa"/>
          </w:tcPr>
          <w:p w:rsidR="00A70B23" w:rsidRPr="00C56F99" w:rsidRDefault="00A70B23" w:rsidP="00A7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указанных документов, подтверждающих Ваши достижения за отчетный период.</w:t>
            </w:r>
          </w:p>
        </w:tc>
      </w:tr>
      <w:tr w:rsidR="00F0350C" w:rsidRPr="00C56F99" w:rsidTr="00A70B23">
        <w:trPr>
          <w:trHeight w:val="315"/>
        </w:trPr>
        <w:tc>
          <w:tcPr>
            <w:tcW w:w="3114" w:type="dxa"/>
            <w:vMerge w:val="restart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общественной жизни на уровне вуза/института</w:t>
            </w: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грамотой /благодарностью 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/ 2 балла</w:t>
            </w:r>
          </w:p>
        </w:tc>
        <w:tc>
          <w:tcPr>
            <w:tcW w:w="7975" w:type="dxa"/>
            <w:vMerge w:val="restart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 </w:t>
            </w:r>
            <w:proofErr w:type="spellStart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тьютору</w:t>
            </w:r>
            <w:proofErr w:type="spellEnd"/>
            <w:proofErr w:type="gramEnd"/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или в деканат к указанному на сайте сроку копии (сканы)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подтверждающих Ваше достижение 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F0350C" w:rsidRPr="00C56F99" w:rsidTr="00A70B23">
        <w:trPr>
          <w:trHeight w:val="303"/>
        </w:trPr>
        <w:tc>
          <w:tcPr>
            <w:tcW w:w="3114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Подтверждено благодарностью профильного проректора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твГУ</w:t>
            </w:r>
            <w:proofErr w:type="spellEnd"/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балла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C" w:rsidRPr="00C56F99" w:rsidTr="00A70B23">
        <w:trPr>
          <w:trHeight w:val="510"/>
        </w:trPr>
        <w:tc>
          <w:tcPr>
            <w:tcW w:w="3114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благодарностью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ИнЭУ</w:t>
            </w:r>
            <w:proofErr w:type="spellEnd"/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C" w:rsidRPr="00C56F99" w:rsidTr="00A70B23">
        <w:trPr>
          <w:trHeight w:val="510"/>
        </w:trPr>
        <w:tc>
          <w:tcPr>
            <w:tcW w:w="311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F0350C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Подтверждено сертификатом участника общественного мероприятия</w:t>
            </w:r>
          </w:p>
        </w:tc>
        <w:tc>
          <w:tcPr>
            <w:tcW w:w="1094" w:type="dxa"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баллов</w:t>
            </w:r>
          </w:p>
        </w:tc>
        <w:tc>
          <w:tcPr>
            <w:tcW w:w="7975" w:type="dxa"/>
            <w:vMerge/>
          </w:tcPr>
          <w:p w:rsidR="00F0350C" w:rsidRPr="00C56F99" w:rsidRDefault="00F0350C" w:rsidP="00F03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6F99" w:rsidRPr="00C56F99" w:rsidRDefault="00C56F99" w:rsidP="00C56F99">
      <w:pPr>
        <w:rPr>
          <w:rFonts w:ascii="Times New Roman" w:hAnsi="Times New Roman" w:cs="Times New Roman"/>
          <w:sz w:val="24"/>
          <w:szCs w:val="24"/>
        </w:rPr>
      </w:pPr>
    </w:p>
    <w:p w:rsidR="009E67E9" w:rsidRDefault="009E67E9" w:rsidP="00096F4D">
      <w:pPr>
        <w:rPr>
          <w:rFonts w:ascii="Times New Roman" w:hAnsi="Times New Roman" w:cs="Times New Roman"/>
          <w:sz w:val="24"/>
          <w:szCs w:val="24"/>
        </w:rPr>
      </w:pPr>
    </w:p>
    <w:p w:rsidR="00F0350C" w:rsidRPr="00C56F99" w:rsidRDefault="00F0350C" w:rsidP="00096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ИнЭУ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Д.И.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Мамагулашвили</w:t>
      </w:r>
      <w:proofErr w:type="spellEnd"/>
    </w:p>
    <w:sectPr w:rsidR="00F0350C" w:rsidRPr="00C56F99" w:rsidSect="00096F4D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30687"/>
    <w:multiLevelType w:val="hybridMultilevel"/>
    <w:tmpl w:val="E23A5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4D"/>
    <w:rsid w:val="00096F4D"/>
    <w:rsid w:val="001965B3"/>
    <w:rsid w:val="001F24C2"/>
    <w:rsid w:val="002F3015"/>
    <w:rsid w:val="003068A7"/>
    <w:rsid w:val="00462E47"/>
    <w:rsid w:val="005F62C7"/>
    <w:rsid w:val="00613195"/>
    <w:rsid w:val="00913CD8"/>
    <w:rsid w:val="009671F7"/>
    <w:rsid w:val="009E67E9"/>
    <w:rsid w:val="00A70B23"/>
    <w:rsid w:val="00B445F9"/>
    <w:rsid w:val="00C56F99"/>
    <w:rsid w:val="00F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5F53"/>
  <w15:chartTrackingRefBased/>
  <w15:docId w15:val="{EB200883-4906-4DF0-A595-451980CC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 Дмитрий Юрьевич</dc:creator>
  <cp:keywords/>
  <dc:description/>
  <cp:lastModifiedBy>Бородин Дмитрий Юрьевич</cp:lastModifiedBy>
  <cp:revision>1</cp:revision>
  <dcterms:created xsi:type="dcterms:W3CDTF">2025-10-06T10:13:00Z</dcterms:created>
  <dcterms:modified xsi:type="dcterms:W3CDTF">2025-10-06T13:47:00Z</dcterms:modified>
</cp:coreProperties>
</file>